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2E4258" w:rsidRPr="00094844" w:rsidRDefault="002E4258" w:rsidP="002E4258">
      <w:pPr>
        <w:jc w:val="center"/>
        <w:rPr>
          <w:b/>
          <w:sz w:val="36"/>
        </w:rPr>
      </w:pPr>
      <w:proofErr w:type="spellStart"/>
      <w:r w:rsidRPr="00094844">
        <w:rPr>
          <w:b/>
          <w:sz w:val="36"/>
        </w:rPr>
        <w:t>eSuperbill</w:t>
      </w:r>
      <w:proofErr w:type="spellEnd"/>
      <w:r w:rsidRPr="00094844">
        <w:rPr>
          <w:b/>
          <w:sz w:val="36"/>
        </w:rPr>
        <w:t xml:space="preserve"> Gap Analysis</w:t>
      </w:r>
    </w:p>
    <w:p w:rsidR="002E4258" w:rsidRDefault="002E4258" w:rsidP="002E4258">
      <w:pPr>
        <w:jc w:val="center"/>
      </w:pPr>
    </w:p>
    <w:p w:rsidR="002E4258" w:rsidRDefault="002E4258" w:rsidP="002E4258">
      <w:r>
        <w:t xml:space="preserve">Providers or clinical staff generate the </w:t>
      </w:r>
      <w:proofErr w:type="spellStart"/>
      <w:r>
        <w:t>eSuperbill</w:t>
      </w:r>
      <w:proofErr w:type="spellEnd"/>
      <w:r>
        <w:t xml:space="preserve">, and once it's signed by a provider, our RCM team begins the process of creating charges from it. We generate </w:t>
      </w:r>
      <w:proofErr w:type="spellStart"/>
      <w:r>
        <w:t>eSuperbill</w:t>
      </w:r>
      <w:proofErr w:type="spellEnd"/>
      <w:r>
        <w:t xml:space="preserve"> using workflows from provider notes as well as through a method for quick </w:t>
      </w:r>
      <w:proofErr w:type="spellStart"/>
      <w:r>
        <w:t>eSuperbill</w:t>
      </w:r>
      <w:proofErr w:type="spellEnd"/>
      <w:r>
        <w:t xml:space="preserve"> creation. Currently, several gaps in our </w:t>
      </w:r>
      <w:proofErr w:type="spellStart"/>
      <w:r>
        <w:t>eSuperbill</w:t>
      </w:r>
      <w:proofErr w:type="spellEnd"/>
      <w:r>
        <w:t xml:space="preserve"> module need addressing.</w:t>
      </w:r>
    </w:p>
    <w:p w:rsidR="002E4258" w:rsidRPr="00094844" w:rsidRDefault="002E4258" w:rsidP="002E4258">
      <w:pPr>
        <w:rPr>
          <w:b/>
          <w:sz w:val="24"/>
        </w:rPr>
      </w:pPr>
      <w:r w:rsidRPr="00094844">
        <w:rPr>
          <w:sz w:val="24"/>
        </w:rPr>
        <w:br/>
      </w:r>
      <w:r w:rsidRPr="00094844">
        <w:rPr>
          <w:b/>
          <w:sz w:val="24"/>
        </w:rPr>
        <w:t>Limitations/Gaps:</w:t>
      </w:r>
    </w:p>
    <w:p w:rsidR="002E4258" w:rsidRDefault="002E4258" w:rsidP="002E4258">
      <w:r>
        <w:t xml:space="preserve">The limited fields on </w:t>
      </w:r>
      <w:proofErr w:type="spellStart"/>
      <w:r>
        <w:t>eSuperbill</w:t>
      </w:r>
      <w:proofErr w:type="spellEnd"/>
      <w:r>
        <w:t xml:space="preserve"> to add all required information while creating the </w:t>
      </w:r>
      <w:proofErr w:type="spellStart"/>
      <w:r>
        <w:t>eSuperbill</w:t>
      </w:r>
      <w:proofErr w:type="spellEnd"/>
      <w:r>
        <w:t>.</w:t>
      </w:r>
    </w:p>
    <w:p w:rsidR="002E4258" w:rsidRPr="00F15F3C" w:rsidRDefault="002E4258" w:rsidP="002E4258">
      <w:r w:rsidRPr="00F15F3C">
        <w:rPr>
          <w:b/>
        </w:rPr>
        <w:t>Enhancement of Practice-Specific Fields:</w:t>
      </w:r>
      <w:r>
        <w:rPr>
          <w:b/>
        </w:rPr>
        <w:t xml:space="preserve"> </w:t>
      </w:r>
      <w:r>
        <w:rPr>
          <w:b/>
        </w:rPr>
        <w:br/>
      </w:r>
      <w:r w:rsidRPr="00F15F3C">
        <w:t xml:space="preserve">Implement a feature that allows practice-specific additional fields in the </w:t>
      </w:r>
      <w:proofErr w:type="spellStart"/>
      <w:r w:rsidRPr="00F15F3C">
        <w:t>eSuperbill</w:t>
      </w:r>
      <w:proofErr w:type="spellEnd"/>
      <w:r w:rsidRPr="00F15F3C">
        <w:t xml:space="preserve">, enabling users to add any necessary information that providers may need to provide during the billing process. Currently, the billing team creates a Provider List (PL) and requests information from providers which they can input directly into the </w:t>
      </w:r>
      <w:proofErr w:type="spellStart"/>
      <w:r w:rsidRPr="00F15F3C">
        <w:t>eSuperbill</w:t>
      </w:r>
      <w:proofErr w:type="spellEnd"/>
      <w:r w:rsidRPr="00F15F3C">
        <w:t>.</w:t>
      </w:r>
    </w:p>
    <w:p w:rsidR="002E4258" w:rsidRPr="00F15F3C" w:rsidRDefault="002E4258" w:rsidP="002E4258">
      <w:r w:rsidRPr="00F15F3C">
        <w:rPr>
          <w:b/>
        </w:rPr>
        <w:t>Proposed Additional Fields:</w:t>
      </w:r>
      <w:r>
        <w:t xml:space="preserve"> </w:t>
      </w:r>
      <w:r>
        <w:br/>
      </w:r>
      <w:r w:rsidRPr="00F15F3C">
        <w:t>To ensure comprehensive data collection, the following fields should be added: Copay, Advances, Date Range for Date of Service (DOS), Admission and Discharge Date, CLIA number, Referral details, and PAN (Permanent Account Number).</w:t>
      </w:r>
    </w:p>
    <w:p w:rsidR="002E4258" w:rsidRPr="00F15F3C" w:rsidRDefault="002E4258" w:rsidP="002E4258">
      <w:r w:rsidRPr="00F15F3C">
        <w:rPr>
          <w:b/>
        </w:rPr>
        <w:t>Enhanced Accessibility:</w:t>
      </w:r>
      <w:r>
        <w:t xml:space="preserve"> </w:t>
      </w:r>
      <w:r>
        <w:br/>
      </w:r>
      <w:r w:rsidRPr="00F15F3C">
        <w:t xml:space="preserve">Make the patient name and insurance details clickable hyperlinks on the </w:t>
      </w:r>
      <w:proofErr w:type="spellStart"/>
      <w:r w:rsidRPr="00F15F3C">
        <w:t>eSuperbill</w:t>
      </w:r>
      <w:proofErr w:type="spellEnd"/>
      <w:r w:rsidRPr="00F15F3C">
        <w:t xml:space="preserve"> to facilitate quick access to detailed information.</w:t>
      </w:r>
    </w:p>
    <w:p w:rsidR="002E4258" w:rsidRPr="00F15F3C" w:rsidRDefault="002E4258" w:rsidP="002E4258">
      <w:r w:rsidRPr="00F15F3C">
        <w:rPr>
          <w:b/>
        </w:rPr>
        <w:t>Selection of Billing Provider:</w:t>
      </w:r>
      <w:r>
        <w:t xml:space="preserve"> </w:t>
      </w:r>
      <w:r>
        <w:br/>
      </w:r>
      <w:r w:rsidRPr="00F15F3C">
        <w:t xml:space="preserve">Allow practice staff and rendering providers to select the billing provider directly on the </w:t>
      </w:r>
      <w:proofErr w:type="spellStart"/>
      <w:r w:rsidRPr="00F15F3C">
        <w:t>eSuperbill</w:t>
      </w:r>
      <w:proofErr w:type="spellEnd"/>
      <w:r w:rsidRPr="00F15F3C">
        <w:t xml:space="preserve"> page to streamline the billing process.</w:t>
      </w:r>
    </w:p>
    <w:p w:rsidR="002E4258" w:rsidRPr="00F15F3C" w:rsidRDefault="002E4258" w:rsidP="002E4258">
      <w:r w:rsidRPr="00F15F3C">
        <w:rPr>
          <w:b/>
        </w:rPr>
        <w:t>Comment Segregation:</w:t>
      </w:r>
      <w:r>
        <w:t xml:space="preserve"> </w:t>
      </w:r>
      <w:r>
        <w:br/>
      </w:r>
      <w:r w:rsidRPr="00F15F3C">
        <w:t>Distinguish between internal and billing instructions in comments added by client users. By segregating these, specific rules can be applied to billing comments, and only relevant comments can be forwarded with the claim to the insurance provider.</w:t>
      </w:r>
    </w:p>
    <w:p w:rsidR="002E4258" w:rsidRPr="00F15F3C" w:rsidRDefault="002E4258" w:rsidP="002E4258">
      <w:r w:rsidRPr="00F15F3C">
        <w:rPr>
          <w:b/>
        </w:rPr>
        <w:t>Management of NDC Details:</w:t>
      </w:r>
      <w:r>
        <w:t xml:space="preserve"> </w:t>
      </w:r>
      <w:r>
        <w:br/>
      </w:r>
      <w:r w:rsidRPr="00F15F3C">
        <w:t xml:space="preserve">Introduce effective and termination dates for National Drug Codes (NDC) used in procedures to ensure only active and valid NDCs are displayed on the </w:t>
      </w:r>
      <w:proofErr w:type="spellStart"/>
      <w:r w:rsidRPr="00F15F3C">
        <w:t>eSuperbill</w:t>
      </w:r>
      <w:proofErr w:type="spellEnd"/>
      <w:r w:rsidRPr="00F15F3C">
        <w:t>. This update is crucial as the current lack of NDC date tracking leads to billing rejections due to outdated or incorrect NDC usage.</w:t>
      </w:r>
    </w:p>
    <w:p w:rsidR="002E4258" w:rsidRDefault="002E4258" w:rsidP="002E4258">
      <w:r w:rsidRPr="00094844">
        <w:rPr>
          <w:b/>
          <w:bCs/>
        </w:rPr>
        <w:t>Client Instructions for Billing Management:</w:t>
      </w:r>
      <w:r>
        <w:t xml:space="preserve"> Clients often use the comments section or banner notes on the </w:t>
      </w:r>
      <w:proofErr w:type="spellStart"/>
      <w:r>
        <w:t>eSuperbill</w:t>
      </w:r>
      <w:proofErr w:type="spellEnd"/>
      <w:r>
        <w:t xml:space="preserve"> to issue specific billing instructions to the RCM team. These instructions might include directives not to bill the patient or insurance under certain circumstances. For example, they might request that patient responsibilities such as copayments, coinsurance, and deductibles be waived or written off for specific patients on certain service dates.</w:t>
      </w:r>
    </w:p>
    <w:p w:rsidR="002E4258" w:rsidRDefault="002E4258" w:rsidP="002E4258">
      <w:r w:rsidRPr="00094844">
        <w:rPr>
          <w:b/>
          <w:bCs/>
        </w:rPr>
        <w:lastRenderedPageBreak/>
        <w:t>E&amp;M Calculator Placement:</w:t>
      </w:r>
      <w:r>
        <w:t xml:space="preserve"> Currently, the E&amp;M Calculator is integrated into the </w:t>
      </w:r>
      <w:proofErr w:type="spellStart"/>
      <w:r>
        <w:t>eSuperbill</w:t>
      </w:r>
      <w:proofErr w:type="spellEnd"/>
      <w:r>
        <w:t>, but a more appropriate placement would be within the provider or progress notes. This adjustment aligns with practices observed among our competitors and has also been suggested by our client services feedback. Moving the calculator to the provider or progress notes would enable providers to use it more effectively during their documentation process.</w:t>
      </w:r>
    </w:p>
    <w:p w:rsidR="002E4258" w:rsidRDefault="002E4258" w:rsidP="002E4258"/>
    <w:p w:rsidR="002E4258" w:rsidRPr="00381405" w:rsidRDefault="002E4258" w:rsidP="002E4258">
      <w:pPr>
        <w:rPr>
          <w:b/>
        </w:rPr>
      </w:pPr>
      <w:r w:rsidRPr="00381405">
        <w:rPr>
          <w:b/>
        </w:rPr>
        <w:t xml:space="preserve">Provider to </w:t>
      </w:r>
      <w:proofErr w:type="spellStart"/>
      <w:r w:rsidRPr="00381405">
        <w:rPr>
          <w:b/>
        </w:rPr>
        <w:t>eSuperbill</w:t>
      </w:r>
      <w:proofErr w:type="spellEnd"/>
      <w:r w:rsidRPr="00381405">
        <w:rPr>
          <w:b/>
        </w:rPr>
        <w:t>:</w:t>
      </w:r>
    </w:p>
    <w:p w:rsidR="002E4258" w:rsidRDefault="002E4258" w:rsidP="002E4258">
      <w:r>
        <w:rPr>
          <w:noProof/>
        </w:rPr>
        <w:drawing>
          <wp:inline distT="0" distB="0" distL="0" distR="0" wp14:anchorId="6DD9FD8A" wp14:editId="5EE07E4F">
            <wp:extent cx="5943600" cy="3039745"/>
            <wp:effectExtent l="0" t="0" r="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039745"/>
                    </a:xfrm>
                    <a:prstGeom prst="rect">
                      <a:avLst/>
                    </a:prstGeom>
                  </pic:spPr>
                </pic:pic>
              </a:graphicData>
            </a:graphic>
          </wp:inline>
        </w:drawing>
      </w:r>
    </w:p>
    <w:p w:rsidR="002E4258" w:rsidRDefault="002E4258" w:rsidP="002E4258">
      <w:r>
        <w:rPr>
          <w:noProof/>
        </w:rPr>
        <w:drawing>
          <wp:inline distT="0" distB="0" distL="0" distR="0" wp14:anchorId="655A7B2F" wp14:editId="5B3495C9">
            <wp:extent cx="5943600" cy="3039745"/>
            <wp:effectExtent l="0" t="0" r="0"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039745"/>
                    </a:xfrm>
                    <a:prstGeom prst="rect">
                      <a:avLst/>
                    </a:prstGeom>
                  </pic:spPr>
                </pic:pic>
              </a:graphicData>
            </a:graphic>
          </wp:inline>
        </w:drawing>
      </w:r>
    </w:p>
    <w:p w:rsidR="002E4258" w:rsidRDefault="002E4258" w:rsidP="002E4258"/>
    <w:p w:rsidR="002E4258" w:rsidRDefault="002E4258" w:rsidP="002E4258">
      <w:pPr>
        <w:rPr>
          <w:b/>
        </w:rPr>
      </w:pPr>
      <w:r w:rsidRPr="00381405">
        <w:rPr>
          <w:b/>
        </w:rPr>
        <w:lastRenderedPageBreak/>
        <w:t xml:space="preserve">Quick </w:t>
      </w:r>
      <w:proofErr w:type="spellStart"/>
      <w:r w:rsidRPr="00381405">
        <w:rPr>
          <w:b/>
        </w:rPr>
        <w:t>eSuperbill</w:t>
      </w:r>
      <w:proofErr w:type="spellEnd"/>
    </w:p>
    <w:p w:rsidR="002E4258" w:rsidRPr="00381405" w:rsidRDefault="002E4258" w:rsidP="002E4258">
      <w:pPr>
        <w:rPr>
          <w:b/>
        </w:rPr>
      </w:pPr>
      <w:r>
        <w:rPr>
          <w:noProof/>
        </w:rPr>
        <w:drawing>
          <wp:inline distT="0" distB="0" distL="0" distR="0" wp14:anchorId="75C6C8DD" wp14:editId="6614C43D">
            <wp:extent cx="5943600" cy="3039745"/>
            <wp:effectExtent l="0" t="0" r="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039745"/>
                    </a:xfrm>
                    <a:prstGeom prst="rect">
                      <a:avLst/>
                    </a:prstGeom>
                  </pic:spPr>
                </pic:pic>
              </a:graphicData>
            </a:graphic>
          </wp:inline>
        </w:drawing>
      </w:r>
    </w:p>
    <w:p w:rsidR="00B86EB3" w:rsidRDefault="00B86EB3" w:rsidP="00F830BD">
      <w:pPr>
        <w:pStyle w:val="Title"/>
        <w:jc w:val="center"/>
      </w:pPr>
    </w:p>
    <w:p w:rsidR="00B86EB3" w:rsidRDefault="00B86EB3" w:rsidP="00F830BD">
      <w:pPr>
        <w:pStyle w:val="Title"/>
        <w:jc w:val="center"/>
      </w:pPr>
    </w:p>
    <w:p w:rsidR="00B86EB3" w:rsidRDefault="00B86EB3" w:rsidP="00F830BD">
      <w:pPr>
        <w:pStyle w:val="Title"/>
        <w:jc w:val="center"/>
      </w:pPr>
    </w:p>
    <w:p w:rsidR="00B86EB3" w:rsidRDefault="00B86EB3" w:rsidP="00F830BD">
      <w:pPr>
        <w:pStyle w:val="Title"/>
        <w:jc w:val="center"/>
      </w:pPr>
    </w:p>
    <w:p w:rsidR="00B86EB3" w:rsidRDefault="00B86EB3" w:rsidP="00F830BD">
      <w:pPr>
        <w:pStyle w:val="Title"/>
        <w:jc w:val="center"/>
      </w:pPr>
    </w:p>
    <w:p w:rsidR="00B86EB3" w:rsidRDefault="00B86EB3" w:rsidP="00F830BD">
      <w:pPr>
        <w:pStyle w:val="Title"/>
        <w:jc w:val="center"/>
      </w:pPr>
    </w:p>
    <w:p w:rsidR="00B86EB3" w:rsidRDefault="00B86EB3" w:rsidP="00F830BD">
      <w:pPr>
        <w:pStyle w:val="Title"/>
        <w:jc w:val="center"/>
      </w:pPr>
    </w:p>
    <w:p w:rsidR="00B86EB3" w:rsidRDefault="00B86EB3" w:rsidP="00F830BD">
      <w:pPr>
        <w:pStyle w:val="Title"/>
        <w:jc w:val="center"/>
      </w:pPr>
    </w:p>
    <w:p w:rsidR="00B86EB3" w:rsidRDefault="00B86EB3" w:rsidP="00F830BD">
      <w:pPr>
        <w:pStyle w:val="Title"/>
        <w:jc w:val="center"/>
      </w:pPr>
    </w:p>
    <w:p w:rsidR="00B86EB3" w:rsidRDefault="00B86EB3" w:rsidP="00F830BD">
      <w:pPr>
        <w:pStyle w:val="Title"/>
        <w:jc w:val="center"/>
      </w:pPr>
    </w:p>
    <w:p w:rsidR="00B86EB3" w:rsidRDefault="00B86EB3" w:rsidP="00F830BD">
      <w:pPr>
        <w:pStyle w:val="Title"/>
        <w:jc w:val="center"/>
      </w:pPr>
    </w:p>
    <w:p w:rsidR="00F830BD" w:rsidRDefault="00F830BD" w:rsidP="00F830BD">
      <w:pPr>
        <w:pStyle w:val="Title"/>
        <w:jc w:val="center"/>
      </w:pPr>
      <w:r>
        <w:lastRenderedPageBreak/>
        <w:t>Competitor Analysis</w:t>
      </w:r>
    </w:p>
    <w:p w:rsidR="00A5635B" w:rsidRDefault="007805D1" w:rsidP="00F830BD">
      <w:pPr>
        <w:pStyle w:val="Title"/>
        <w:jc w:val="center"/>
      </w:pPr>
      <w:r>
        <w:t>E-</w:t>
      </w:r>
      <w:r w:rsidR="00F830BD">
        <w:t>S</w:t>
      </w:r>
      <w:r>
        <w:t>uper</w:t>
      </w:r>
      <w:r w:rsidR="00F830BD">
        <w:t xml:space="preserve"> </w:t>
      </w:r>
      <w:r>
        <w:t>Bill</w:t>
      </w:r>
    </w:p>
    <w:p w:rsidR="00F830BD" w:rsidRDefault="00F830BD" w:rsidP="00F830BD"/>
    <w:p w:rsidR="00DB6770" w:rsidRPr="00DB6770" w:rsidRDefault="00F830BD" w:rsidP="00DB6770">
      <w:pPr>
        <w:pStyle w:val="Heading1"/>
        <w:tabs>
          <w:tab w:val="left" w:pos="1663"/>
        </w:tabs>
        <w:rPr>
          <w:b/>
        </w:rPr>
      </w:pPr>
      <w:proofErr w:type="spellStart"/>
      <w:r w:rsidRPr="00F830BD">
        <w:rPr>
          <w:b/>
        </w:rPr>
        <w:t>eCW</w:t>
      </w:r>
      <w:proofErr w:type="spellEnd"/>
      <w:r w:rsidRPr="00F830BD">
        <w:rPr>
          <w:b/>
        </w:rPr>
        <w:t xml:space="preserve"> </w:t>
      </w:r>
    </w:p>
    <w:p w:rsidR="00DB6770" w:rsidRDefault="00DB6770" w:rsidP="00DB6770">
      <w:pPr>
        <w:pStyle w:val="Heading2"/>
      </w:pPr>
      <w:r>
        <w:t xml:space="preserve">Summary </w:t>
      </w:r>
    </w:p>
    <w:p w:rsidR="00DB6770" w:rsidRDefault="00DB6770" w:rsidP="00DB6770">
      <w:pPr>
        <w:jc w:val="both"/>
      </w:pPr>
      <w:r>
        <w:t xml:space="preserve">In </w:t>
      </w:r>
      <w:proofErr w:type="spellStart"/>
      <w:r>
        <w:t>eCW</w:t>
      </w:r>
      <w:proofErr w:type="spellEnd"/>
      <w:r>
        <w:t>, the process of creating a Superbill begins with locking the Progress Note, which signifies that it has been signed. Once locked, the Super Bill can be created. Codes from the Progress Note automatically populate, and additional ICD codes can be added via a search function.  After all necessary details are filled in, the Superbill can be saved, completing the Super</w:t>
      </w:r>
      <w:r w:rsidR="00F80A4F">
        <w:t xml:space="preserve"> </w:t>
      </w:r>
      <w:r>
        <w:t>Bill.</w:t>
      </w:r>
    </w:p>
    <w:p w:rsidR="00DB6770" w:rsidRDefault="00DB6770" w:rsidP="00DB6770">
      <w:r>
        <w:t xml:space="preserve">For viewing Superbills, </w:t>
      </w:r>
      <w:r w:rsidR="00455966">
        <w:t xml:space="preserve">set </w:t>
      </w:r>
      <w:r>
        <w:t xml:space="preserve">the claim status to “Encounter Without Claims” in the Claims Listing page. </w:t>
      </w:r>
      <w:r w:rsidR="00455966">
        <w:t xml:space="preserve">Here, </w:t>
      </w:r>
      <w:r>
        <w:t>Locked encounters are identified by a padlock icon.</w:t>
      </w:r>
    </w:p>
    <w:p w:rsidR="00F830BD" w:rsidRPr="00F830BD" w:rsidRDefault="00F830BD" w:rsidP="00F830BD">
      <w:pPr>
        <w:pStyle w:val="Heading2"/>
      </w:pPr>
      <w:r>
        <w:t xml:space="preserve">Create Superbill </w:t>
      </w:r>
    </w:p>
    <w:p w:rsidR="00007FA9" w:rsidRDefault="00007FA9">
      <w:r>
        <w:t xml:space="preserve">From the Schedular, the user navigates to the Progress Note. </w:t>
      </w:r>
    </w:p>
    <w:p w:rsidR="007805D1" w:rsidRDefault="00007FA9">
      <w:r>
        <w:rPr>
          <w:noProof/>
        </w:rPr>
        <w:drawing>
          <wp:inline distT="0" distB="0" distL="0" distR="0" wp14:anchorId="28C2855F" wp14:editId="4CBBA6F6">
            <wp:extent cx="5943600" cy="24765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476500"/>
                    </a:xfrm>
                    <a:prstGeom prst="rect">
                      <a:avLst/>
                    </a:prstGeom>
                  </pic:spPr>
                </pic:pic>
              </a:graphicData>
            </a:graphic>
          </wp:inline>
        </w:drawing>
      </w:r>
    </w:p>
    <w:p w:rsidR="00007FA9" w:rsidRDefault="00007FA9"/>
    <w:p w:rsidR="00007FA9" w:rsidRDefault="008C7F7A">
      <w:r>
        <w:t>From the</w:t>
      </w:r>
      <w:r w:rsidR="00007FA9">
        <w:t xml:space="preserve"> </w:t>
      </w:r>
      <w:r>
        <w:t>P</w:t>
      </w:r>
      <w:r w:rsidR="00007FA9">
        <w:t xml:space="preserve">rogress note, the user locks </w:t>
      </w:r>
      <w:r>
        <w:t>it</w:t>
      </w:r>
      <w:r w:rsidR="00007FA9">
        <w:t>. Lock means signed</w:t>
      </w:r>
      <w:r>
        <w:t>.</w:t>
      </w:r>
    </w:p>
    <w:p w:rsidR="00007FA9" w:rsidRDefault="00007FA9"/>
    <w:p w:rsidR="00007FA9" w:rsidRDefault="00007FA9">
      <w:r>
        <w:rPr>
          <w:noProof/>
        </w:rPr>
        <w:lastRenderedPageBreak/>
        <w:drawing>
          <wp:inline distT="0" distB="0" distL="0" distR="0" wp14:anchorId="4CED3E66" wp14:editId="39D7B87A">
            <wp:extent cx="5943600" cy="284543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845435"/>
                    </a:xfrm>
                    <a:prstGeom prst="rect">
                      <a:avLst/>
                    </a:prstGeom>
                  </pic:spPr>
                </pic:pic>
              </a:graphicData>
            </a:graphic>
          </wp:inline>
        </w:drawing>
      </w:r>
    </w:p>
    <w:p w:rsidR="00007FA9" w:rsidRDefault="00007FA9"/>
    <w:p w:rsidR="00007FA9" w:rsidRDefault="00007FA9">
      <w:r>
        <w:t xml:space="preserve">After locking the </w:t>
      </w:r>
      <w:r w:rsidR="008C7F7A">
        <w:t>Progress Note</w:t>
      </w:r>
      <w:r>
        <w:t xml:space="preserve">, the user can create a Super Bill, as shown below </w:t>
      </w:r>
    </w:p>
    <w:p w:rsidR="00007FA9" w:rsidRDefault="00007FA9">
      <w:r>
        <w:rPr>
          <w:noProof/>
        </w:rPr>
        <w:drawing>
          <wp:inline distT="0" distB="0" distL="0" distR="0" wp14:anchorId="24C1EC15" wp14:editId="4FAACA93">
            <wp:extent cx="5943600" cy="286321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863215"/>
                    </a:xfrm>
                    <a:prstGeom prst="rect">
                      <a:avLst/>
                    </a:prstGeom>
                  </pic:spPr>
                </pic:pic>
              </a:graphicData>
            </a:graphic>
          </wp:inline>
        </w:drawing>
      </w:r>
    </w:p>
    <w:p w:rsidR="00007FA9" w:rsidRDefault="00F830BD">
      <w:r>
        <w:t>(</w:t>
      </w:r>
      <w:r w:rsidR="00007FA9">
        <w:t xml:space="preserve">From here, the user can directly navigate from </w:t>
      </w:r>
      <w:r>
        <w:t>Progress Note</w:t>
      </w:r>
      <w:r w:rsidR="00007FA9">
        <w:t xml:space="preserve"> to the charge page.</w:t>
      </w:r>
      <w:r>
        <w:t>)</w:t>
      </w:r>
      <w:r w:rsidR="00007FA9">
        <w:t xml:space="preserve"> </w:t>
      </w:r>
    </w:p>
    <w:p w:rsidR="00F830BD" w:rsidRDefault="00F830BD">
      <w:r>
        <w:t>On the left</w:t>
      </w:r>
      <w:r w:rsidR="008C7F7A">
        <w:t xml:space="preserve"> of the Super Bill</w:t>
      </w:r>
      <w:r>
        <w:t xml:space="preserve">, the Codes are populated from the Progress Note. The user can add ICD codes to the bill through the search. </w:t>
      </w:r>
    </w:p>
    <w:p w:rsidR="00007FA9" w:rsidRDefault="00007FA9">
      <w:r>
        <w:rPr>
          <w:noProof/>
        </w:rPr>
        <w:lastRenderedPageBreak/>
        <w:drawing>
          <wp:inline distT="0" distB="0" distL="0" distR="0" wp14:anchorId="3E208CFA" wp14:editId="57B7F9D9">
            <wp:extent cx="5943600" cy="2491105"/>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491105"/>
                    </a:xfrm>
                    <a:prstGeom prst="rect">
                      <a:avLst/>
                    </a:prstGeom>
                  </pic:spPr>
                </pic:pic>
              </a:graphicData>
            </a:graphic>
          </wp:inline>
        </w:drawing>
      </w:r>
    </w:p>
    <w:p w:rsidR="00F830BD" w:rsidRDefault="00F830BD">
      <w:r>
        <w:t>On-clicking the 3 dots, the frequently used notes are displayed. The user is facilitated through these billing keywords to fill notes quickly.</w:t>
      </w:r>
    </w:p>
    <w:p w:rsidR="00F830BD" w:rsidRDefault="00F830BD">
      <w:r>
        <w:rPr>
          <w:noProof/>
        </w:rPr>
        <w:drawing>
          <wp:inline distT="0" distB="0" distL="0" distR="0" wp14:anchorId="0D629D4D" wp14:editId="3F91D914">
            <wp:extent cx="5943600" cy="248158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481580"/>
                    </a:xfrm>
                    <a:prstGeom prst="rect">
                      <a:avLst/>
                    </a:prstGeom>
                  </pic:spPr>
                </pic:pic>
              </a:graphicData>
            </a:graphic>
          </wp:inline>
        </w:drawing>
      </w:r>
    </w:p>
    <w:p w:rsidR="00F830BD" w:rsidRDefault="00F830BD">
      <w:r>
        <w:t xml:space="preserve">After completing the superbill, the user can save it </w:t>
      </w:r>
    </w:p>
    <w:p w:rsidR="00F830BD" w:rsidRDefault="00F830BD">
      <w:r>
        <w:rPr>
          <w:noProof/>
        </w:rPr>
        <w:lastRenderedPageBreak/>
        <w:drawing>
          <wp:inline distT="0" distB="0" distL="0" distR="0" wp14:anchorId="54405DAF" wp14:editId="65098A58">
            <wp:extent cx="5943600" cy="269049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690495"/>
                    </a:xfrm>
                    <a:prstGeom prst="rect">
                      <a:avLst/>
                    </a:prstGeom>
                  </pic:spPr>
                </pic:pic>
              </a:graphicData>
            </a:graphic>
          </wp:inline>
        </w:drawing>
      </w:r>
      <w:r>
        <w:br/>
      </w:r>
    </w:p>
    <w:p w:rsidR="00F830BD" w:rsidRDefault="00F830BD">
      <w:r>
        <w:t xml:space="preserve">The </w:t>
      </w:r>
      <w:proofErr w:type="spellStart"/>
      <w:r>
        <w:t>eSuperBill</w:t>
      </w:r>
      <w:proofErr w:type="spellEnd"/>
      <w:r>
        <w:t xml:space="preserve"> is complete! </w:t>
      </w:r>
    </w:p>
    <w:p w:rsidR="00F830BD" w:rsidRDefault="00F830BD" w:rsidP="00F830BD">
      <w:pPr>
        <w:pStyle w:val="Heading2"/>
      </w:pPr>
      <w:r>
        <w:t xml:space="preserve">View Super Bill </w:t>
      </w:r>
    </w:p>
    <w:p w:rsidR="00F830BD" w:rsidRDefault="00F830BD">
      <w:r>
        <w:t xml:space="preserve">The Superbills can be viewed from the </w:t>
      </w:r>
      <w:r w:rsidR="00B51F5C">
        <w:t>Claims Listing page. For this, set the claim Status: “Encounter Without Claims”</w:t>
      </w:r>
      <w:r>
        <w:t xml:space="preserve"> </w:t>
      </w:r>
    </w:p>
    <w:p w:rsidR="00F830BD" w:rsidRDefault="00B51F5C">
      <w:r>
        <w:rPr>
          <w:noProof/>
        </w:rPr>
        <w:drawing>
          <wp:inline distT="0" distB="0" distL="0" distR="0" wp14:anchorId="7571ED05" wp14:editId="54743A92">
            <wp:extent cx="5943600" cy="244284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442845"/>
                    </a:xfrm>
                    <a:prstGeom prst="rect">
                      <a:avLst/>
                    </a:prstGeom>
                  </pic:spPr>
                </pic:pic>
              </a:graphicData>
            </a:graphic>
          </wp:inline>
        </w:drawing>
      </w:r>
    </w:p>
    <w:p w:rsidR="00B51F5C" w:rsidRDefault="00B51F5C">
      <w:r>
        <w:t>There is an option to view lock/unlock</w:t>
      </w:r>
      <w:r w:rsidR="00523674">
        <w:t>ed</w:t>
      </w:r>
      <w:r>
        <w:t xml:space="preserve"> Encounters</w:t>
      </w:r>
      <w:r w:rsidR="00523674">
        <w:t>.</w:t>
      </w:r>
      <w:r>
        <w:t xml:space="preserve"> </w:t>
      </w:r>
    </w:p>
    <w:p w:rsidR="00B51F5C" w:rsidRDefault="00B51F5C">
      <w:r>
        <w:rPr>
          <w:noProof/>
        </w:rPr>
        <w:lastRenderedPageBreak/>
        <w:drawing>
          <wp:inline distT="0" distB="0" distL="0" distR="0" wp14:anchorId="4CE8F088" wp14:editId="2C61413F">
            <wp:extent cx="5943600" cy="244030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440305"/>
                    </a:xfrm>
                    <a:prstGeom prst="rect">
                      <a:avLst/>
                    </a:prstGeom>
                  </pic:spPr>
                </pic:pic>
              </a:graphicData>
            </a:graphic>
          </wp:inline>
        </w:drawing>
      </w:r>
    </w:p>
    <w:p w:rsidR="00B51F5C" w:rsidRDefault="00B51F5C">
      <w:r>
        <w:t>The locked encounter ha</w:t>
      </w:r>
      <w:r w:rsidR="00523674">
        <w:t>ve</w:t>
      </w:r>
      <w:r>
        <w:t xml:space="preserve"> a pad-lock to differentiate it. </w:t>
      </w:r>
      <w:r>
        <w:br/>
      </w:r>
      <w:r>
        <w:rPr>
          <w:noProof/>
        </w:rPr>
        <w:drawing>
          <wp:inline distT="0" distB="0" distL="0" distR="0" wp14:anchorId="1298A26C" wp14:editId="4D0EE5A9">
            <wp:extent cx="5943600" cy="273939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739390"/>
                    </a:xfrm>
                    <a:prstGeom prst="rect">
                      <a:avLst/>
                    </a:prstGeom>
                  </pic:spPr>
                </pic:pic>
              </a:graphicData>
            </a:graphic>
          </wp:inline>
        </w:drawing>
      </w:r>
    </w:p>
    <w:p w:rsidR="00455966" w:rsidRDefault="00455966"/>
    <w:p w:rsidR="00007FA9" w:rsidRDefault="00455966" w:rsidP="00455966">
      <w:pPr>
        <w:pStyle w:val="Heading2"/>
      </w:pPr>
      <w:r>
        <w:t xml:space="preserve">Comparison with </w:t>
      </w:r>
      <w:proofErr w:type="spellStart"/>
      <w:r>
        <w:t>CureMD</w:t>
      </w:r>
      <w:proofErr w:type="spellEnd"/>
      <w:r>
        <w:t xml:space="preserve"> </w:t>
      </w:r>
    </w:p>
    <w:p w:rsidR="00455966" w:rsidRDefault="00455966" w:rsidP="00455966"/>
    <w:tbl>
      <w:tblPr>
        <w:tblStyle w:val="TableGrid"/>
        <w:tblW w:w="0" w:type="auto"/>
        <w:tblLook w:val="04A0" w:firstRow="1" w:lastRow="0" w:firstColumn="1" w:lastColumn="0" w:noHBand="0" w:noVBand="1"/>
      </w:tblPr>
      <w:tblGrid>
        <w:gridCol w:w="1795"/>
        <w:gridCol w:w="4172"/>
        <w:gridCol w:w="3383"/>
      </w:tblGrid>
      <w:tr w:rsidR="00455966" w:rsidRPr="00455966" w:rsidTr="00455966">
        <w:trPr>
          <w:trHeight w:val="288"/>
        </w:trPr>
        <w:tc>
          <w:tcPr>
            <w:tcW w:w="1795" w:type="dxa"/>
            <w:shd w:val="clear" w:color="auto" w:fill="C5E0B3" w:themeFill="accent6" w:themeFillTint="66"/>
            <w:noWrap/>
            <w:hideMark/>
          </w:tcPr>
          <w:p w:rsidR="00455966" w:rsidRPr="00455966" w:rsidRDefault="00455966" w:rsidP="00455966">
            <w:pPr>
              <w:jc w:val="center"/>
            </w:pPr>
            <w:r w:rsidRPr="00455966">
              <w:t>Feature</w:t>
            </w:r>
          </w:p>
        </w:tc>
        <w:tc>
          <w:tcPr>
            <w:tcW w:w="4172" w:type="dxa"/>
            <w:shd w:val="clear" w:color="auto" w:fill="C5E0B3" w:themeFill="accent6" w:themeFillTint="66"/>
            <w:noWrap/>
            <w:hideMark/>
          </w:tcPr>
          <w:p w:rsidR="00455966" w:rsidRPr="00455966" w:rsidRDefault="00455966" w:rsidP="00455966">
            <w:pPr>
              <w:jc w:val="center"/>
            </w:pPr>
            <w:proofErr w:type="spellStart"/>
            <w:r>
              <w:t>eCW</w:t>
            </w:r>
            <w:proofErr w:type="spellEnd"/>
            <w:r w:rsidRPr="00455966">
              <w:t xml:space="preserve"> Super Bill</w:t>
            </w:r>
          </w:p>
        </w:tc>
        <w:tc>
          <w:tcPr>
            <w:tcW w:w="3383" w:type="dxa"/>
            <w:shd w:val="clear" w:color="auto" w:fill="C5E0B3" w:themeFill="accent6" w:themeFillTint="66"/>
            <w:noWrap/>
            <w:hideMark/>
          </w:tcPr>
          <w:p w:rsidR="00455966" w:rsidRPr="00455966" w:rsidRDefault="00455966" w:rsidP="00455966">
            <w:pPr>
              <w:jc w:val="center"/>
            </w:pPr>
            <w:proofErr w:type="spellStart"/>
            <w:r w:rsidRPr="00455966">
              <w:t>CureMD</w:t>
            </w:r>
            <w:proofErr w:type="spellEnd"/>
            <w:r w:rsidRPr="00455966">
              <w:t xml:space="preserve"> Superbill</w:t>
            </w:r>
          </w:p>
        </w:tc>
      </w:tr>
      <w:tr w:rsidR="00455966" w:rsidRPr="00455966" w:rsidTr="00455966">
        <w:trPr>
          <w:trHeight w:val="288"/>
        </w:trPr>
        <w:tc>
          <w:tcPr>
            <w:tcW w:w="1795" w:type="dxa"/>
            <w:noWrap/>
            <w:hideMark/>
          </w:tcPr>
          <w:p w:rsidR="00455966" w:rsidRPr="00455966" w:rsidRDefault="00455966">
            <w:r w:rsidRPr="00455966">
              <w:t>ICD Code Management</w:t>
            </w:r>
          </w:p>
        </w:tc>
        <w:tc>
          <w:tcPr>
            <w:tcW w:w="4172" w:type="dxa"/>
            <w:noWrap/>
            <w:hideMark/>
          </w:tcPr>
          <w:p w:rsidR="00455966" w:rsidRPr="00455966" w:rsidRDefault="00455966">
            <w:r w:rsidRPr="00455966">
              <w:t>Auto-populated from Progress Note, searchable, quick access to frequently used codes</w:t>
            </w:r>
          </w:p>
        </w:tc>
        <w:tc>
          <w:tcPr>
            <w:tcW w:w="3383" w:type="dxa"/>
            <w:noWrap/>
            <w:hideMark/>
          </w:tcPr>
          <w:p w:rsidR="00455966" w:rsidRPr="00455966" w:rsidRDefault="00F80A4F">
            <w:r w:rsidRPr="00455966">
              <w:t>Auto-populated from Progress Note</w:t>
            </w:r>
            <w:r>
              <w:t xml:space="preserve">. </w:t>
            </w:r>
            <w:r w:rsidR="00455966" w:rsidRPr="00455966">
              <w:t>Manual entry of ICD-10 codes</w:t>
            </w:r>
          </w:p>
        </w:tc>
      </w:tr>
      <w:tr w:rsidR="00455966" w:rsidRPr="00455966" w:rsidTr="00455966">
        <w:trPr>
          <w:trHeight w:val="288"/>
        </w:trPr>
        <w:tc>
          <w:tcPr>
            <w:tcW w:w="1795" w:type="dxa"/>
            <w:noWrap/>
            <w:hideMark/>
          </w:tcPr>
          <w:p w:rsidR="00455966" w:rsidRPr="00455966" w:rsidRDefault="00455966">
            <w:r w:rsidRPr="00455966">
              <w:t>CPT Code Management</w:t>
            </w:r>
          </w:p>
        </w:tc>
        <w:tc>
          <w:tcPr>
            <w:tcW w:w="4172" w:type="dxa"/>
            <w:noWrap/>
            <w:hideMark/>
          </w:tcPr>
          <w:p w:rsidR="00455966" w:rsidRPr="00455966" w:rsidRDefault="00455966">
            <w:r w:rsidRPr="00455966">
              <w:t>Auto-populated from Progress Note, can be adjusted</w:t>
            </w:r>
          </w:p>
        </w:tc>
        <w:tc>
          <w:tcPr>
            <w:tcW w:w="3383" w:type="dxa"/>
            <w:noWrap/>
            <w:hideMark/>
          </w:tcPr>
          <w:p w:rsidR="00455966" w:rsidRPr="00455966" w:rsidRDefault="00F80A4F">
            <w:r w:rsidRPr="00455966">
              <w:t>Auto-populated from Progress Note, can be adjusted</w:t>
            </w:r>
            <w:r>
              <w:t xml:space="preserve">. </w:t>
            </w:r>
            <w:r w:rsidR="00455966" w:rsidRPr="00455966">
              <w:t>Manual entry with options for modifiers and quantities</w:t>
            </w:r>
          </w:p>
        </w:tc>
      </w:tr>
      <w:tr w:rsidR="00455966" w:rsidRPr="00455966" w:rsidTr="00455966">
        <w:trPr>
          <w:trHeight w:val="288"/>
        </w:trPr>
        <w:tc>
          <w:tcPr>
            <w:tcW w:w="1795" w:type="dxa"/>
            <w:noWrap/>
            <w:hideMark/>
          </w:tcPr>
          <w:p w:rsidR="00455966" w:rsidRPr="00455966" w:rsidRDefault="00455966">
            <w:r w:rsidRPr="00455966">
              <w:t>E&amp;M Code Selection</w:t>
            </w:r>
          </w:p>
        </w:tc>
        <w:tc>
          <w:tcPr>
            <w:tcW w:w="4172" w:type="dxa"/>
            <w:noWrap/>
            <w:hideMark/>
          </w:tcPr>
          <w:p w:rsidR="00455966" w:rsidRPr="00455966" w:rsidRDefault="00455966">
            <w:r w:rsidRPr="00455966">
              <w:t>Predefined selection, auto-suggested based on the visit</w:t>
            </w:r>
          </w:p>
        </w:tc>
        <w:tc>
          <w:tcPr>
            <w:tcW w:w="3383" w:type="dxa"/>
            <w:noWrap/>
            <w:hideMark/>
          </w:tcPr>
          <w:p w:rsidR="00455966" w:rsidRPr="00455966" w:rsidRDefault="00455966">
            <w:r w:rsidRPr="00455966">
              <w:t>Users select codes manually</w:t>
            </w:r>
            <w:r w:rsidR="00F80A4F">
              <w:t xml:space="preserve">+ </w:t>
            </w:r>
            <w:proofErr w:type="gramStart"/>
            <w:r w:rsidR="00F80A4F">
              <w:t xml:space="preserve">auto  </w:t>
            </w:r>
            <w:r w:rsidRPr="00455966">
              <w:t>,</w:t>
            </w:r>
            <w:proofErr w:type="gramEnd"/>
            <w:r w:rsidRPr="00455966">
              <w:t xml:space="preserve"> with guidance on E&amp;M calculation</w:t>
            </w:r>
          </w:p>
        </w:tc>
      </w:tr>
      <w:tr w:rsidR="00455966" w:rsidRPr="00455966" w:rsidTr="00455966">
        <w:trPr>
          <w:trHeight w:val="288"/>
        </w:trPr>
        <w:tc>
          <w:tcPr>
            <w:tcW w:w="1795" w:type="dxa"/>
            <w:noWrap/>
            <w:hideMark/>
          </w:tcPr>
          <w:p w:rsidR="00455966" w:rsidRPr="00455966" w:rsidRDefault="00455966">
            <w:r w:rsidRPr="00455966">
              <w:lastRenderedPageBreak/>
              <w:t>Billing Notes</w:t>
            </w:r>
          </w:p>
        </w:tc>
        <w:tc>
          <w:tcPr>
            <w:tcW w:w="4172" w:type="dxa"/>
            <w:noWrap/>
            <w:hideMark/>
          </w:tcPr>
          <w:p w:rsidR="00455966" w:rsidRPr="00455966" w:rsidRDefault="00455966">
            <w:r w:rsidRPr="00455966">
              <w:t>Section for adding notes, with a button</w:t>
            </w:r>
          </w:p>
        </w:tc>
        <w:tc>
          <w:tcPr>
            <w:tcW w:w="3383" w:type="dxa"/>
            <w:noWrap/>
            <w:hideMark/>
          </w:tcPr>
          <w:p w:rsidR="00455966" w:rsidRPr="00455966" w:rsidRDefault="00455966">
            <w:r w:rsidRPr="00455966">
              <w:t>Comments section available for detailed documentation</w:t>
            </w:r>
          </w:p>
        </w:tc>
      </w:tr>
      <w:tr w:rsidR="00F80A4F" w:rsidRPr="00455966" w:rsidTr="00455966">
        <w:trPr>
          <w:trHeight w:val="288"/>
        </w:trPr>
        <w:tc>
          <w:tcPr>
            <w:tcW w:w="1795" w:type="dxa"/>
            <w:noWrap/>
          </w:tcPr>
          <w:p w:rsidR="00F80A4F" w:rsidRPr="00455966" w:rsidRDefault="00F80A4F">
            <w:r>
              <w:t xml:space="preserve">Follow up notes </w:t>
            </w:r>
          </w:p>
        </w:tc>
        <w:tc>
          <w:tcPr>
            <w:tcW w:w="4172" w:type="dxa"/>
            <w:noWrap/>
          </w:tcPr>
          <w:p w:rsidR="00F80A4F" w:rsidRPr="00455966" w:rsidRDefault="00F80A4F">
            <w:r w:rsidRPr="00455966">
              <w:t>Section for adding notes</w:t>
            </w:r>
          </w:p>
        </w:tc>
        <w:tc>
          <w:tcPr>
            <w:tcW w:w="3383" w:type="dxa"/>
            <w:noWrap/>
          </w:tcPr>
          <w:p w:rsidR="00F80A4F" w:rsidRPr="00455966" w:rsidRDefault="00F80A4F">
            <w:r>
              <w:t>N/A</w:t>
            </w:r>
          </w:p>
        </w:tc>
      </w:tr>
      <w:tr w:rsidR="00455966" w:rsidRPr="00455966" w:rsidTr="00455966">
        <w:trPr>
          <w:trHeight w:val="288"/>
        </w:trPr>
        <w:tc>
          <w:tcPr>
            <w:tcW w:w="1795" w:type="dxa"/>
            <w:noWrap/>
            <w:hideMark/>
          </w:tcPr>
          <w:p w:rsidR="00455966" w:rsidRPr="00455966" w:rsidRDefault="00455966">
            <w:r w:rsidRPr="00455966">
              <w:t>Follow-Up Section</w:t>
            </w:r>
          </w:p>
        </w:tc>
        <w:tc>
          <w:tcPr>
            <w:tcW w:w="4172" w:type="dxa"/>
            <w:noWrap/>
            <w:hideMark/>
          </w:tcPr>
          <w:p w:rsidR="00455966" w:rsidRPr="00455966" w:rsidRDefault="00455966">
            <w:r w:rsidRPr="00455966">
              <w:t>Integrated follow-up scheduling (e.g., 3 months)</w:t>
            </w:r>
          </w:p>
        </w:tc>
        <w:tc>
          <w:tcPr>
            <w:tcW w:w="3383" w:type="dxa"/>
            <w:noWrap/>
            <w:hideMark/>
          </w:tcPr>
          <w:p w:rsidR="00455966" w:rsidRPr="00455966" w:rsidRDefault="00455966">
            <w:r w:rsidRPr="00455966">
              <w:t>No dedicated follow-up section</w:t>
            </w:r>
          </w:p>
        </w:tc>
      </w:tr>
      <w:tr w:rsidR="00455966" w:rsidRPr="00455966" w:rsidTr="00455966">
        <w:trPr>
          <w:trHeight w:val="288"/>
        </w:trPr>
        <w:tc>
          <w:tcPr>
            <w:tcW w:w="1795" w:type="dxa"/>
            <w:noWrap/>
            <w:hideMark/>
          </w:tcPr>
          <w:p w:rsidR="00455966" w:rsidRPr="00455966" w:rsidRDefault="00455966">
            <w:r w:rsidRPr="00455966">
              <w:t>Modifiers &amp; Quantities</w:t>
            </w:r>
          </w:p>
        </w:tc>
        <w:tc>
          <w:tcPr>
            <w:tcW w:w="4172" w:type="dxa"/>
            <w:noWrap/>
            <w:hideMark/>
          </w:tcPr>
          <w:p w:rsidR="00455966" w:rsidRPr="00455966" w:rsidRDefault="00455966">
            <w:r w:rsidRPr="00455966">
              <w:t>Not applicable</w:t>
            </w:r>
          </w:p>
        </w:tc>
        <w:tc>
          <w:tcPr>
            <w:tcW w:w="3383" w:type="dxa"/>
            <w:noWrap/>
            <w:hideMark/>
          </w:tcPr>
          <w:p w:rsidR="00455966" w:rsidRPr="00455966" w:rsidRDefault="00F80A4F">
            <w:r>
              <w:t xml:space="preserve">Not clear </w:t>
            </w:r>
          </w:p>
        </w:tc>
      </w:tr>
      <w:tr w:rsidR="00455966" w:rsidRPr="00455966" w:rsidTr="00455966">
        <w:trPr>
          <w:trHeight w:val="288"/>
        </w:trPr>
        <w:tc>
          <w:tcPr>
            <w:tcW w:w="1795" w:type="dxa"/>
            <w:noWrap/>
            <w:hideMark/>
          </w:tcPr>
          <w:p w:rsidR="00455966" w:rsidRPr="00455966" w:rsidRDefault="00455966">
            <w:r w:rsidRPr="00455966">
              <w:t>Frequent Code Access</w:t>
            </w:r>
          </w:p>
        </w:tc>
        <w:tc>
          <w:tcPr>
            <w:tcW w:w="4172" w:type="dxa"/>
            <w:noWrap/>
            <w:hideMark/>
          </w:tcPr>
          <w:p w:rsidR="00455966" w:rsidRPr="00455966" w:rsidRDefault="00455966">
            <w:r w:rsidRPr="00455966">
              <w:t>Quick access via a three-dot menu for commonly used codes</w:t>
            </w:r>
          </w:p>
        </w:tc>
        <w:tc>
          <w:tcPr>
            <w:tcW w:w="3383" w:type="dxa"/>
            <w:noWrap/>
            <w:hideMark/>
          </w:tcPr>
          <w:p w:rsidR="00455966" w:rsidRPr="00455966" w:rsidRDefault="00F80A4F">
            <w:r>
              <w:t xml:space="preserve">Yes </w:t>
            </w:r>
          </w:p>
        </w:tc>
      </w:tr>
      <w:tr w:rsidR="00455966" w:rsidRPr="00455966" w:rsidTr="00455966">
        <w:trPr>
          <w:trHeight w:val="288"/>
        </w:trPr>
        <w:tc>
          <w:tcPr>
            <w:tcW w:w="1795" w:type="dxa"/>
            <w:noWrap/>
            <w:hideMark/>
          </w:tcPr>
          <w:p w:rsidR="00455966" w:rsidRPr="00455966" w:rsidRDefault="00455966">
            <w:r w:rsidRPr="00455966">
              <w:t>Ease of Use</w:t>
            </w:r>
          </w:p>
        </w:tc>
        <w:tc>
          <w:tcPr>
            <w:tcW w:w="4172" w:type="dxa"/>
            <w:noWrap/>
            <w:hideMark/>
          </w:tcPr>
          <w:p w:rsidR="00455966" w:rsidRPr="00455966" w:rsidRDefault="00455966">
            <w:r w:rsidRPr="00455966">
              <w:t>Streamlined for quick entry, minimal manual interaction</w:t>
            </w:r>
          </w:p>
        </w:tc>
        <w:tc>
          <w:tcPr>
            <w:tcW w:w="3383" w:type="dxa"/>
            <w:noWrap/>
            <w:hideMark/>
          </w:tcPr>
          <w:p w:rsidR="00455966" w:rsidRPr="00455966" w:rsidRDefault="00455966">
            <w:r w:rsidRPr="00455966">
              <w:t>Requires more manual input, detailed and comprehensive</w:t>
            </w:r>
          </w:p>
        </w:tc>
      </w:tr>
      <w:tr w:rsidR="00455966" w:rsidRPr="00455966" w:rsidTr="00455966">
        <w:trPr>
          <w:trHeight w:val="288"/>
        </w:trPr>
        <w:tc>
          <w:tcPr>
            <w:tcW w:w="1795" w:type="dxa"/>
            <w:noWrap/>
            <w:hideMark/>
          </w:tcPr>
          <w:p w:rsidR="00455966" w:rsidRPr="00455966" w:rsidRDefault="00455966">
            <w:r w:rsidRPr="00455966">
              <w:t>Tools for Guidance</w:t>
            </w:r>
          </w:p>
        </w:tc>
        <w:tc>
          <w:tcPr>
            <w:tcW w:w="4172" w:type="dxa"/>
            <w:noWrap/>
            <w:hideMark/>
          </w:tcPr>
          <w:p w:rsidR="00455966" w:rsidRPr="00455966" w:rsidRDefault="00455966">
            <w:r w:rsidRPr="00455966">
              <w:t>Focused on direct data entry without additional guidance</w:t>
            </w:r>
          </w:p>
        </w:tc>
        <w:tc>
          <w:tcPr>
            <w:tcW w:w="3383" w:type="dxa"/>
            <w:noWrap/>
            <w:hideMark/>
          </w:tcPr>
          <w:p w:rsidR="00455966" w:rsidRPr="00455966" w:rsidRDefault="00455966">
            <w:r w:rsidRPr="00455966">
              <w:t>Tools to guide E&amp;M code calculation</w:t>
            </w:r>
          </w:p>
        </w:tc>
      </w:tr>
      <w:tr w:rsidR="00455966" w:rsidRPr="00455966" w:rsidTr="00455966">
        <w:trPr>
          <w:trHeight w:val="288"/>
        </w:trPr>
        <w:tc>
          <w:tcPr>
            <w:tcW w:w="1795" w:type="dxa"/>
            <w:noWrap/>
            <w:hideMark/>
          </w:tcPr>
          <w:p w:rsidR="00455966" w:rsidRPr="00455966" w:rsidRDefault="00455966"/>
        </w:tc>
        <w:tc>
          <w:tcPr>
            <w:tcW w:w="4172" w:type="dxa"/>
            <w:noWrap/>
            <w:hideMark/>
          </w:tcPr>
          <w:p w:rsidR="00455966" w:rsidRPr="00455966" w:rsidRDefault="00455966"/>
        </w:tc>
        <w:tc>
          <w:tcPr>
            <w:tcW w:w="3383" w:type="dxa"/>
            <w:noWrap/>
            <w:hideMark/>
          </w:tcPr>
          <w:p w:rsidR="00455966" w:rsidRPr="00455966" w:rsidRDefault="00455966"/>
        </w:tc>
      </w:tr>
    </w:tbl>
    <w:p w:rsidR="00455966" w:rsidRDefault="00455966" w:rsidP="00455966"/>
    <w:p w:rsidR="00455966" w:rsidRPr="00455966" w:rsidRDefault="00455966" w:rsidP="00455966"/>
    <w:p w:rsidR="00007FA9" w:rsidRDefault="009070CF" w:rsidP="00654E10">
      <w:pPr>
        <w:pStyle w:val="Heading1"/>
        <w:rPr>
          <w:b/>
        </w:rPr>
      </w:pPr>
      <w:r w:rsidRPr="00654E10">
        <w:rPr>
          <w:b/>
        </w:rPr>
        <w:t xml:space="preserve">Greenway </w:t>
      </w:r>
    </w:p>
    <w:p w:rsidR="00C066B0" w:rsidRDefault="00C066B0" w:rsidP="00C066B0">
      <w:pPr>
        <w:pStyle w:val="Heading2"/>
      </w:pPr>
      <w:r>
        <w:t xml:space="preserve">Summary </w:t>
      </w:r>
    </w:p>
    <w:p w:rsidR="00C066B0" w:rsidRDefault="00C066B0" w:rsidP="00C066B0">
      <w:r>
        <w:t xml:space="preserve">The workflow begins with compiling the Progress Note in the </w:t>
      </w:r>
      <w:proofErr w:type="spellStart"/>
      <w:r>
        <w:t>Intergy</w:t>
      </w:r>
      <w:proofErr w:type="spellEnd"/>
      <w:r>
        <w:t xml:space="preserve"> EHR system, where the user can edit or add Evaluation &amp; Management (E&amp;M) codes. Once completed, the Progress Note is saved, and the billing information is</w:t>
      </w:r>
      <w:r w:rsidR="00B23016">
        <w:t xml:space="preserve"> auto-</w:t>
      </w:r>
      <w:r>
        <w:t xml:space="preserve">reflected in the </w:t>
      </w:r>
      <w:proofErr w:type="spellStart"/>
      <w:r>
        <w:t>Intergy</w:t>
      </w:r>
      <w:proofErr w:type="spellEnd"/>
      <w:r>
        <w:t xml:space="preserve"> Practice Management (PM) system as a "Pending Charges." This Pending charge is similar to superbill.  </w:t>
      </w:r>
    </w:p>
    <w:p w:rsidR="00C066B0" w:rsidRDefault="00C066B0" w:rsidP="00C066B0">
      <w:r>
        <w:t>From the pending charges listing page, user selects a pending charge, and posts it.</w:t>
      </w:r>
    </w:p>
    <w:p w:rsidR="009070CF" w:rsidRDefault="00C066B0" w:rsidP="00C066B0">
      <w:pPr>
        <w:pStyle w:val="Heading2"/>
      </w:pPr>
      <w:r>
        <w:t xml:space="preserve">Create Pending Charge/ Superbill </w:t>
      </w:r>
    </w:p>
    <w:p w:rsidR="002D17E7" w:rsidRDefault="00913C2E">
      <w:r>
        <w:t xml:space="preserve">The workflow starts from compiling </w:t>
      </w:r>
      <w:r w:rsidR="00BB1190">
        <w:t>P</w:t>
      </w:r>
      <w:r>
        <w:t xml:space="preserve">rogress Note. The </w:t>
      </w:r>
      <w:r w:rsidR="002D17E7">
        <w:t xml:space="preserve">Progress Notes are </w:t>
      </w:r>
      <w:r w:rsidR="00BB1190">
        <w:t xml:space="preserve">a </w:t>
      </w:r>
      <w:r w:rsidR="002D17E7">
        <w:t xml:space="preserve">part of the </w:t>
      </w:r>
      <w:proofErr w:type="spellStart"/>
      <w:r w:rsidR="002D17E7">
        <w:t>Intergy</w:t>
      </w:r>
      <w:proofErr w:type="spellEnd"/>
      <w:r w:rsidR="002D17E7">
        <w:t xml:space="preserve"> EHR system.</w:t>
      </w:r>
      <w:r w:rsidR="002D17E7">
        <w:br/>
      </w:r>
    </w:p>
    <w:p w:rsidR="002D17E7" w:rsidRDefault="002D17E7">
      <w:r>
        <w:rPr>
          <w:noProof/>
        </w:rPr>
        <w:drawing>
          <wp:inline distT="0" distB="0" distL="0" distR="0" wp14:anchorId="16F43D9E" wp14:editId="7C4A6B6B">
            <wp:extent cx="5943600" cy="250380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503805"/>
                    </a:xfrm>
                    <a:prstGeom prst="rect">
                      <a:avLst/>
                    </a:prstGeom>
                  </pic:spPr>
                </pic:pic>
              </a:graphicData>
            </a:graphic>
          </wp:inline>
        </w:drawing>
      </w:r>
    </w:p>
    <w:p w:rsidR="002D17E7" w:rsidRDefault="002D17E7">
      <w:r>
        <w:lastRenderedPageBreak/>
        <w:t xml:space="preserve">The user can </w:t>
      </w:r>
      <w:r w:rsidR="00FF7339">
        <w:t xml:space="preserve">Edit/ </w:t>
      </w:r>
      <w:r w:rsidR="003520B0">
        <w:t>add E&amp;Ms</w:t>
      </w:r>
      <w:r w:rsidR="00FF7339">
        <w:t xml:space="preserve"> from the Progress Note. There are levels of code to choose from</w:t>
      </w:r>
      <w:r w:rsidR="00C066B0">
        <w:t>, as shown below:</w:t>
      </w:r>
    </w:p>
    <w:p w:rsidR="002D17E7" w:rsidRDefault="002D17E7">
      <w:r>
        <w:rPr>
          <w:noProof/>
        </w:rPr>
        <w:drawing>
          <wp:inline distT="0" distB="0" distL="0" distR="0" wp14:anchorId="55D72979" wp14:editId="66144F62">
            <wp:extent cx="5943600" cy="28397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839720"/>
                    </a:xfrm>
                    <a:prstGeom prst="rect">
                      <a:avLst/>
                    </a:prstGeom>
                  </pic:spPr>
                </pic:pic>
              </a:graphicData>
            </a:graphic>
          </wp:inline>
        </w:drawing>
      </w:r>
    </w:p>
    <w:p w:rsidR="00FF7339" w:rsidRDefault="00FF7339"/>
    <w:p w:rsidR="0095201D" w:rsidRDefault="0095201D">
      <w:r>
        <w:t xml:space="preserve">The completed Progress Note is saved in the EHR. The billing info reflects in the </w:t>
      </w:r>
      <w:proofErr w:type="spellStart"/>
      <w:r>
        <w:t>Intergy</w:t>
      </w:r>
      <w:proofErr w:type="spellEnd"/>
      <w:r>
        <w:t xml:space="preserve"> PM system as a “Pending Charge</w:t>
      </w:r>
      <w:r w:rsidR="000F733C">
        <w:t>s</w:t>
      </w:r>
      <w:r>
        <w:t>”</w:t>
      </w:r>
    </w:p>
    <w:p w:rsidR="0095201D" w:rsidRDefault="0095201D">
      <w:r>
        <w:t>Workflow to Pending Charges:</w:t>
      </w:r>
    </w:p>
    <w:p w:rsidR="0095201D" w:rsidRDefault="0095201D">
      <w:r>
        <w:t xml:space="preserve">Financial&gt;&gt; Charges&gt;&gt; Pending Charges </w:t>
      </w:r>
    </w:p>
    <w:p w:rsidR="0095201D" w:rsidRDefault="000F733C">
      <w:r>
        <w:t xml:space="preserve">The pending charges can be filtered on multiple basis through radio buttons, as shown below: </w:t>
      </w:r>
    </w:p>
    <w:p w:rsidR="0095201D" w:rsidRDefault="0095201D">
      <w:r>
        <w:rPr>
          <w:noProof/>
        </w:rPr>
        <w:drawing>
          <wp:inline distT="0" distB="0" distL="0" distR="0" wp14:anchorId="69786067" wp14:editId="68B83752">
            <wp:extent cx="5857875" cy="298132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857875" cy="2981325"/>
                    </a:xfrm>
                    <a:prstGeom prst="rect">
                      <a:avLst/>
                    </a:prstGeom>
                  </pic:spPr>
                </pic:pic>
              </a:graphicData>
            </a:graphic>
          </wp:inline>
        </w:drawing>
      </w:r>
    </w:p>
    <w:p w:rsidR="0095201D" w:rsidRDefault="0095201D">
      <w:r>
        <w:lastRenderedPageBreak/>
        <w:t xml:space="preserve">When the User selects a pending charge, and hits “Post Pending Charges” button, a pop-up opens. Here the user Selects the </w:t>
      </w:r>
      <w:r w:rsidR="00654E10">
        <w:t>Encounter</w:t>
      </w:r>
      <w:r w:rsidR="00C066B0">
        <w:t>.</w:t>
      </w:r>
    </w:p>
    <w:p w:rsidR="0095201D" w:rsidRDefault="0095201D"/>
    <w:p w:rsidR="0095201D" w:rsidRDefault="00654E10">
      <w:r>
        <w:rPr>
          <w:noProof/>
        </w:rPr>
        <w:drawing>
          <wp:inline distT="0" distB="0" distL="0" distR="0" wp14:anchorId="15E47C9E" wp14:editId="5DE43B04">
            <wp:extent cx="5943600" cy="4011295"/>
            <wp:effectExtent l="0" t="0" r="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4011295"/>
                    </a:xfrm>
                    <a:prstGeom prst="rect">
                      <a:avLst/>
                    </a:prstGeom>
                  </pic:spPr>
                </pic:pic>
              </a:graphicData>
            </a:graphic>
          </wp:inline>
        </w:drawing>
      </w:r>
    </w:p>
    <w:p w:rsidR="00654E10" w:rsidRDefault="000F733C">
      <w:r>
        <w:t>Then, the u</w:t>
      </w:r>
      <w:r w:rsidR="00654E10">
        <w:t>ser selects journal</w:t>
      </w:r>
      <w:r>
        <w:t xml:space="preserve"> and </w:t>
      </w:r>
      <w:r w:rsidR="00654E10">
        <w:t>click</w:t>
      </w:r>
      <w:r>
        <w:t xml:space="preserve">s </w:t>
      </w:r>
      <w:r w:rsidR="00654E10">
        <w:t>“Add”.</w:t>
      </w:r>
    </w:p>
    <w:p w:rsidR="00654E10" w:rsidRDefault="00654E10">
      <w:r>
        <w:rPr>
          <w:noProof/>
        </w:rPr>
        <w:lastRenderedPageBreak/>
        <w:drawing>
          <wp:inline distT="0" distB="0" distL="0" distR="0" wp14:anchorId="39746E12" wp14:editId="1DB49D01">
            <wp:extent cx="4910447" cy="3105753"/>
            <wp:effectExtent l="0" t="0" r="508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926874" cy="3116143"/>
                    </a:xfrm>
                    <a:prstGeom prst="rect">
                      <a:avLst/>
                    </a:prstGeom>
                  </pic:spPr>
                </pic:pic>
              </a:graphicData>
            </a:graphic>
          </wp:inline>
        </w:drawing>
      </w:r>
    </w:p>
    <w:p w:rsidR="00654E10" w:rsidRDefault="00654E10"/>
    <w:p w:rsidR="00654E10" w:rsidRDefault="00654E10"/>
    <w:p w:rsidR="00654E10" w:rsidRDefault="00654E10"/>
    <w:p w:rsidR="00654E10" w:rsidRDefault="00654E10">
      <w:r>
        <w:rPr>
          <w:noProof/>
        </w:rPr>
        <w:drawing>
          <wp:inline distT="0" distB="0" distL="0" distR="0" wp14:anchorId="64A5070D" wp14:editId="0187551F">
            <wp:extent cx="4989992" cy="3063834"/>
            <wp:effectExtent l="0" t="0" r="127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020130" cy="3082339"/>
                    </a:xfrm>
                    <a:prstGeom prst="rect">
                      <a:avLst/>
                    </a:prstGeom>
                  </pic:spPr>
                </pic:pic>
              </a:graphicData>
            </a:graphic>
          </wp:inline>
        </w:drawing>
      </w:r>
    </w:p>
    <w:p w:rsidR="00654E10" w:rsidRDefault="000F733C">
      <w:r>
        <w:t>Once added, the user</w:t>
      </w:r>
      <w:r w:rsidR="00654E10">
        <w:t xml:space="preserve"> click</w:t>
      </w:r>
      <w:r>
        <w:t>s</w:t>
      </w:r>
      <w:r w:rsidR="00654E10">
        <w:t xml:space="preserve"> “Post Charges” to post</w:t>
      </w:r>
      <w:r>
        <w:t xml:space="preserve"> them.</w:t>
      </w:r>
    </w:p>
    <w:p w:rsidR="00654E10" w:rsidRDefault="00654E10">
      <w:r>
        <w:rPr>
          <w:noProof/>
        </w:rPr>
        <w:lastRenderedPageBreak/>
        <w:drawing>
          <wp:inline distT="0" distB="0" distL="0" distR="0" wp14:anchorId="3D9A2807" wp14:editId="3DAC0514">
            <wp:extent cx="5943600" cy="360362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603625"/>
                    </a:xfrm>
                    <a:prstGeom prst="rect">
                      <a:avLst/>
                    </a:prstGeom>
                  </pic:spPr>
                </pic:pic>
              </a:graphicData>
            </a:graphic>
          </wp:inline>
        </w:drawing>
      </w:r>
    </w:p>
    <w:p w:rsidR="00654E10" w:rsidRDefault="00654E10">
      <w:r>
        <w:t xml:space="preserve">If there are more CPTS, the pop-up opens again. </w:t>
      </w:r>
    </w:p>
    <w:p w:rsidR="00654E10" w:rsidRDefault="00654E10">
      <w:r>
        <w:t xml:space="preserve">View Posted </w:t>
      </w:r>
      <w:r w:rsidR="000F733C">
        <w:t xml:space="preserve">Charges </w:t>
      </w:r>
      <w:r>
        <w:br/>
      </w:r>
      <w:r>
        <w:rPr>
          <w:noProof/>
        </w:rPr>
        <w:drawing>
          <wp:inline distT="0" distB="0" distL="0" distR="0" wp14:anchorId="32FD08B9" wp14:editId="7C7FC563">
            <wp:extent cx="5943600" cy="248221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482215"/>
                    </a:xfrm>
                    <a:prstGeom prst="rect">
                      <a:avLst/>
                    </a:prstGeom>
                  </pic:spPr>
                </pic:pic>
              </a:graphicData>
            </a:graphic>
          </wp:inline>
        </w:drawing>
      </w:r>
    </w:p>
    <w:p w:rsidR="00654E10" w:rsidRDefault="00654E10">
      <w:r>
        <w:lastRenderedPageBreak/>
        <w:t xml:space="preserve">Search </w:t>
      </w:r>
      <w:bookmarkStart w:id="0" w:name="_GoBack"/>
      <w:bookmarkEnd w:id="0"/>
      <w:r>
        <w:br/>
      </w:r>
      <w:r>
        <w:rPr>
          <w:noProof/>
        </w:rPr>
        <w:drawing>
          <wp:inline distT="0" distB="0" distL="0" distR="0" wp14:anchorId="57CA3AD7" wp14:editId="01F9496A">
            <wp:extent cx="5915025" cy="330517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15025" cy="3305175"/>
                    </a:xfrm>
                    <a:prstGeom prst="rect">
                      <a:avLst/>
                    </a:prstGeom>
                  </pic:spPr>
                </pic:pic>
              </a:graphicData>
            </a:graphic>
          </wp:inline>
        </w:drawing>
      </w:r>
    </w:p>
    <w:p w:rsidR="00654E10" w:rsidRDefault="00654E10"/>
    <w:p w:rsidR="00654E10" w:rsidRDefault="00654E10"/>
    <w:p w:rsidR="00654E10" w:rsidRDefault="00654E10">
      <w:r>
        <w:rPr>
          <w:noProof/>
        </w:rPr>
        <w:drawing>
          <wp:inline distT="0" distB="0" distL="0" distR="0" wp14:anchorId="068A910E" wp14:editId="46901152">
            <wp:extent cx="5943600" cy="34925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492500"/>
                    </a:xfrm>
                    <a:prstGeom prst="rect">
                      <a:avLst/>
                    </a:prstGeom>
                  </pic:spPr>
                </pic:pic>
              </a:graphicData>
            </a:graphic>
          </wp:inline>
        </w:drawing>
      </w:r>
    </w:p>
    <w:p w:rsidR="00654E10" w:rsidRDefault="00654E10">
      <w:r>
        <w:rPr>
          <w:noProof/>
        </w:rPr>
        <w:lastRenderedPageBreak/>
        <w:drawing>
          <wp:inline distT="0" distB="0" distL="0" distR="0" wp14:anchorId="725384DD" wp14:editId="0601F1D9">
            <wp:extent cx="5943600" cy="348805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488055"/>
                    </a:xfrm>
                    <a:prstGeom prst="rect">
                      <a:avLst/>
                    </a:prstGeom>
                  </pic:spPr>
                </pic:pic>
              </a:graphicData>
            </a:graphic>
          </wp:inline>
        </w:drawing>
      </w:r>
    </w:p>
    <w:p w:rsidR="00654E10" w:rsidRDefault="00654E10"/>
    <w:p w:rsidR="00654E10" w:rsidRDefault="00654E10"/>
    <w:p w:rsidR="00654E10" w:rsidRDefault="00654E10"/>
    <w:p w:rsidR="00654E10" w:rsidRDefault="00654E10"/>
    <w:p w:rsidR="00654E10" w:rsidRDefault="00654E10"/>
    <w:p w:rsidR="00654E10" w:rsidRDefault="00654E10"/>
    <w:p w:rsidR="00654E10" w:rsidRDefault="00654E10"/>
    <w:p w:rsidR="00654E10" w:rsidRDefault="00654E10"/>
    <w:sectPr w:rsidR="00654E1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80A4F" w:rsidRDefault="00F80A4F" w:rsidP="00F80A4F">
      <w:pPr>
        <w:spacing w:after="0" w:line="240" w:lineRule="auto"/>
      </w:pPr>
      <w:r>
        <w:separator/>
      </w:r>
    </w:p>
  </w:endnote>
  <w:endnote w:type="continuationSeparator" w:id="0">
    <w:p w:rsidR="00F80A4F" w:rsidRDefault="00F80A4F" w:rsidP="00F80A4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80A4F" w:rsidRDefault="00F80A4F" w:rsidP="00F80A4F">
      <w:pPr>
        <w:spacing w:after="0" w:line="240" w:lineRule="auto"/>
      </w:pPr>
      <w:r>
        <w:separator/>
      </w:r>
    </w:p>
  </w:footnote>
  <w:footnote w:type="continuationSeparator" w:id="0">
    <w:p w:rsidR="00F80A4F" w:rsidRDefault="00F80A4F" w:rsidP="00F80A4F">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805D1"/>
    <w:rsid w:val="00007FA9"/>
    <w:rsid w:val="000255B9"/>
    <w:rsid w:val="000F733C"/>
    <w:rsid w:val="002D17E7"/>
    <w:rsid w:val="002E4258"/>
    <w:rsid w:val="00317A7B"/>
    <w:rsid w:val="003520B0"/>
    <w:rsid w:val="00455966"/>
    <w:rsid w:val="00461596"/>
    <w:rsid w:val="00523674"/>
    <w:rsid w:val="00654E10"/>
    <w:rsid w:val="007805D1"/>
    <w:rsid w:val="008A16C5"/>
    <w:rsid w:val="008C7F7A"/>
    <w:rsid w:val="009070CF"/>
    <w:rsid w:val="00913C2E"/>
    <w:rsid w:val="00914AAA"/>
    <w:rsid w:val="0095201D"/>
    <w:rsid w:val="00A5635B"/>
    <w:rsid w:val="00A7245A"/>
    <w:rsid w:val="00B23016"/>
    <w:rsid w:val="00B51F5C"/>
    <w:rsid w:val="00B86EB3"/>
    <w:rsid w:val="00BB1190"/>
    <w:rsid w:val="00C066B0"/>
    <w:rsid w:val="00DB6770"/>
    <w:rsid w:val="00F80A4F"/>
    <w:rsid w:val="00F830BD"/>
    <w:rsid w:val="00FF733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92C5EA"/>
  <w15:chartTrackingRefBased/>
  <w15:docId w15:val="{F8277789-1480-4921-8471-52FCC7754E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830B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830B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830BD"/>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830BD"/>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F830BD"/>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F830BD"/>
    <w:rPr>
      <w:rFonts w:asciiTheme="majorHAnsi" w:eastAsiaTheme="majorEastAsia" w:hAnsiTheme="majorHAnsi" w:cstheme="majorBidi"/>
      <w:color w:val="2F5496" w:themeColor="accent1" w:themeShade="BF"/>
      <w:sz w:val="26"/>
      <w:szCs w:val="26"/>
    </w:rPr>
  </w:style>
  <w:style w:type="table" w:styleId="TableGrid">
    <w:name w:val="Table Grid"/>
    <w:basedOn w:val="TableNormal"/>
    <w:uiPriority w:val="39"/>
    <w:rsid w:val="0045596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F80A4F"/>
    <w:pPr>
      <w:tabs>
        <w:tab w:val="center" w:pos="4680"/>
        <w:tab w:val="right" w:pos="9360"/>
      </w:tabs>
      <w:spacing w:after="0" w:line="240" w:lineRule="auto"/>
    </w:pPr>
  </w:style>
  <w:style w:type="character" w:customStyle="1" w:styleId="HeaderChar">
    <w:name w:val="Header Char"/>
    <w:basedOn w:val="DefaultParagraphFont"/>
    <w:link w:val="Header"/>
    <w:uiPriority w:val="99"/>
    <w:rsid w:val="00F80A4F"/>
  </w:style>
  <w:style w:type="paragraph" w:styleId="Footer">
    <w:name w:val="footer"/>
    <w:basedOn w:val="Normal"/>
    <w:link w:val="FooterChar"/>
    <w:uiPriority w:val="99"/>
    <w:unhideWhenUsed/>
    <w:rsid w:val="00F80A4F"/>
    <w:pPr>
      <w:tabs>
        <w:tab w:val="center" w:pos="4680"/>
        <w:tab w:val="right" w:pos="9360"/>
      </w:tabs>
      <w:spacing w:after="0" w:line="240" w:lineRule="auto"/>
    </w:pPr>
  </w:style>
  <w:style w:type="character" w:customStyle="1" w:styleId="FooterChar">
    <w:name w:val="Footer Char"/>
    <w:basedOn w:val="DefaultParagraphFont"/>
    <w:link w:val="Footer"/>
    <w:uiPriority w:val="99"/>
    <w:rsid w:val="00F80A4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66033086">
      <w:bodyDiv w:val="1"/>
      <w:marLeft w:val="0"/>
      <w:marRight w:val="0"/>
      <w:marTop w:val="0"/>
      <w:marBottom w:val="0"/>
      <w:divBdr>
        <w:top w:val="none" w:sz="0" w:space="0" w:color="auto"/>
        <w:left w:val="none" w:sz="0" w:space="0" w:color="auto"/>
        <w:bottom w:val="none" w:sz="0" w:space="0" w:color="auto"/>
        <w:right w:val="none" w:sz="0" w:space="0" w:color="auto"/>
      </w:divBdr>
    </w:div>
    <w:div w:id="1194343722">
      <w:bodyDiv w:val="1"/>
      <w:marLeft w:val="0"/>
      <w:marRight w:val="0"/>
      <w:marTop w:val="0"/>
      <w:marBottom w:val="0"/>
      <w:divBdr>
        <w:top w:val="none" w:sz="0" w:space="0" w:color="auto"/>
        <w:left w:val="none" w:sz="0" w:space="0" w:color="auto"/>
        <w:bottom w:val="none" w:sz="0" w:space="0" w:color="auto"/>
        <w:right w:val="none" w:sz="0" w:space="0" w:color="auto"/>
      </w:divBdr>
    </w:div>
    <w:div w:id="1401557794">
      <w:bodyDiv w:val="1"/>
      <w:marLeft w:val="0"/>
      <w:marRight w:val="0"/>
      <w:marTop w:val="0"/>
      <w:marBottom w:val="0"/>
      <w:divBdr>
        <w:top w:val="none" w:sz="0" w:space="0" w:color="auto"/>
        <w:left w:val="none" w:sz="0" w:space="0" w:color="auto"/>
        <w:bottom w:val="none" w:sz="0" w:space="0" w:color="auto"/>
        <w:right w:val="none" w:sz="0" w:space="0" w:color="auto"/>
      </w:divBdr>
    </w:div>
    <w:div w:id="1477724585">
      <w:bodyDiv w:val="1"/>
      <w:marLeft w:val="0"/>
      <w:marRight w:val="0"/>
      <w:marTop w:val="0"/>
      <w:marBottom w:val="0"/>
      <w:divBdr>
        <w:top w:val="none" w:sz="0" w:space="0" w:color="auto"/>
        <w:left w:val="none" w:sz="0" w:space="0" w:color="auto"/>
        <w:bottom w:val="none" w:sz="0" w:space="0" w:color="auto"/>
        <w:right w:val="none" w:sz="0" w:space="0" w:color="auto"/>
      </w:divBdr>
    </w:div>
    <w:div w:id="1993829835">
      <w:bodyDiv w:val="1"/>
      <w:marLeft w:val="0"/>
      <w:marRight w:val="0"/>
      <w:marTop w:val="0"/>
      <w:marBottom w:val="0"/>
      <w:divBdr>
        <w:top w:val="none" w:sz="0" w:space="0" w:color="auto"/>
        <w:left w:val="none" w:sz="0" w:space="0" w:color="auto"/>
        <w:bottom w:val="none" w:sz="0" w:space="0" w:color="auto"/>
        <w:right w:val="none" w:sz="0" w:space="0" w:color="auto"/>
      </w:divBdr>
      <w:divsChild>
        <w:div w:id="1768233652">
          <w:marLeft w:val="0"/>
          <w:marRight w:val="0"/>
          <w:marTop w:val="0"/>
          <w:marBottom w:val="0"/>
          <w:divBdr>
            <w:top w:val="none" w:sz="0" w:space="0" w:color="auto"/>
            <w:left w:val="none" w:sz="0" w:space="0" w:color="auto"/>
            <w:bottom w:val="none" w:sz="0" w:space="0" w:color="auto"/>
            <w:right w:val="none" w:sz="0" w:space="0" w:color="auto"/>
          </w:divBdr>
          <w:divsChild>
            <w:div w:id="1973175857">
              <w:marLeft w:val="0"/>
              <w:marRight w:val="0"/>
              <w:marTop w:val="0"/>
              <w:marBottom w:val="0"/>
              <w:divBdr>
                <w:top w:val="none" w:sz="0" w:space="0" w:color="auto"/>
                <w:left w:val="none" w:sz="0" w:space="0" w:color="auto"/>
                <w:bottom w:val="none" w:sz="0" w:space="0" w:color="auto"/>
                <w:right w:val="none" w:sz="0" w:space="0" w:color="auto"/>
              </w:divBdr>
              <w:divsChild>
                <w:div w:id="1001471740">
                  <w:marLeft w:val="0"/>
                  <w:marRight w:val="0"/>
                  <w:marTop w:val="0"/>
                  <w:marBottom w:val="0"/>
                  <w:divBdr>
                    <w:top w:val="none" w:sz="0" w:space="0" w:color="auto"/>
                    <w:left w:val="none" w:sz="0" w:space="0" w:color="auto"/>
                    <w:bottom w:val="none" w:sz="0" w:space="0" w:color="auto"/>
                    <w:right w:val="none" w:sz="0" w:space="0" w:color="auto"/>
                  </w:divBdr>
                  <w:divsChild>
                    <w:div w:id="329870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59756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webSettings" Target="webSetting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TotalTime>
  <Pages>15</Pages>
  <Words>1059</Words>
  <Characters>6039</Characters>
  <Application>Microsoft Office Word</Application>
  <DocSecurity>0</DocSecurity>
  <Lines>50</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Raima Arif</dc:creator>
  <cp:keywords/>
  <dc:description/>
  <cp:lastModifiedBy>Raima Arif</cp:lastModifiedBy>
  <cp:revision>5</cp:revision>
  <dcterms:created xsi:type="dcterms:W3CDTF">2024-09-11T10:01:00Z</dcterms:created>
  <dcterms:modified xsi:type="dcterms:W3CDTF">2024-09-16T09:38:00Z</dcterms:modified>
</cp:coreProperties>
</file>